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08" w:rsidRPr="002C7133" w:rsidRDefault="00887308" w:rsidP="00887308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>
        <w:rPr>
          <w:b/>
        </w:rPr>
        <w:t>З</w:t>
      </w:r>
      <w:r w:rsidRPr="002C7133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2C7133">
        <w:rPr>
          <w:b/>
        </w:rPr>
        <w:t>об уровне профессиональной деятельности</w:t>
      </w:r>
    </w:p>
    <w:p w:rsidR="00925637" w:rsidRDefault="00887308" w:rsidP="00887308">
      <w:pPr>
        <w:jc w:val="center"/>
        <w:rPr>
          <w:b/>
        </w:rPr>
      </w:pPr>
      <w:r w:rsidRPr="002C7133">
        <w:rPr>
          <w:b/>
        </w:rPr>
        <w:t xml:space="preserve">педагогического работника </w:t>
      </w:r>
      <w:r w:rsidRPr="00B52E52">
        <w:rPr>
          <w:b/>
        </w:rPr>
        <w:t>организации, осуществляющ</w:t>
      </w:r>
      <w:r>
        <w:rPr>
          <w:b/>
        </w:rPr>
        <w:t xml:space="preserve">ей образовательную деятельность </w:t>
      </w:r>
    </w:p>
    <w:p w:rsidR="00887308" w:rsidRDefault="00887308" w:rsidP="00887308">
      <w:pPr>
        <w:jc w:val="center"/>
        <w:rPr>
          <w:b/>
        </w:rPr>
      </w:pPr>
      <w:r>
        <w:rPr>
          <w:b/>
        </w:rPr>
        <w:t xml:space="preserve">(форма 13) </w:t>
      </w:r>
    </w:p>
    <w:p w:rsidR="00887308" w:rsidRPr="002C7133" w:rsidRDefault="00887308" w:rsidP="00887308">
      <w:pPr>
        <w:jc w:val="center"/>
        <w:rPr>
          <w:b/>
        </w:rPr>
      </w:pPr>
    </w:p>
    <w:p w:rsidR="00887308" w:rsidRDefault="00887308" w:rsidP="00887308">
      <w:pPr>
        <w:jc w:val="center"/>
        <w:rPr>
          <w:b/>
        </w:rPr>
      </w:pPr>
      <w:r w:rsidRPr="00887308">
        <w:t>(по должности «п</w:t>
      </w:r>
      <w:r w:rsidR="00F93A3F">
        <w:t>едагог-психолог</w:t>
      </w:r>
      <w:r w:rsidRPr="00887308">
        <w:t>», «</w:t>
      </w:r>
      <w:r w:rsidR="00F93A3F">
        <w:t>социальный педагог</w:t>
      </w:r>
      <w:r w:rsidRPr="00887308">
        <w:t xml:space="preserve">» </w:t>
      </w:r>
      <w:r>
        <w:t>орган</w:t>
      </w:r>
      <w:r w:rsidR="00F93A3F">
        <w:t>и</w:t>
      </w:r>
      <w:r>
        <w:t>заци</w:t>
      </w:r>
      <w:r w:rsidRPr="00887308">
        <w:t xml:space="preserve">й, находящихся в ведении </w:t>
      </w:r>
      <w:r w:rsidRPr="00887308">
        <w:br/>
        <w:t>Комитета по социальной политике Санкт-Петербурга</w:t>
      </w:r>
      <w:r w:rsidR="004967BE">
        <w:t>)</w:t>
      </w:r>
    </w:p>
    <w:p w:rsidR="00887308" w:rsidRPr="002C7133" w:rsidRDefault="00887308" w:rsidP="003807B5">
      <w:pPr>
        <w:jc w:val="center"/>
        <w:rPr>
          <w:b/>
        </w:rPr>
      </w:pPr>
    </w:p>
    <w:p w:rsidR="003807B5" w:rsidRPr="002C7133" w:rsidRDefault="003807B5" w:rsidP="003807B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3807B5" w:rsidRPr="000963E4" w:rsidRDefault="003807B5" w:rsidP="003807B5">
      <w:pPr>
        <w:jc w:val="center"/>
        <w:rPr>
          <w:sz w:val="22"/>
          <w:szCs w:val="22"/>
        </w:rPr>
      </w:pPr>
      <w:r w:rsidRPr="000963E4">
        <w:rPr>
          <w:sz w:val="22"/>
          <w:szCs w:val="22"/>
        </w:rPr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0963E4">
        <w:rPr>
          <w:sz w:val="22"/>
          <w:szCs w:val="22"/>
        </w:rPr>
        <w:t>, место работы, должность)</w:t>
      </w:r>
    </w:p>
    <w:p w:rsidR="003807B5" w:rsidRPr="002C7133" w:rsidRDefault="003807B5" w:rsidP="003807B5">
      <w:pPr>
        <w:jc w:val="center"/>
        <w:rPr>
          <w:sz w:val="16"/>
          <w:szCs w:val="16"/>
        </w:rPr>
      </w:pPr>
    </w:p>
    <w:p w:rsidR="003807B5" w:rsidRPr="002C7133" w:rsidRDefault="003807B5" w:rsidP="003807B5">
      <w:pPr>
        <w:jc w:val="center"/>
      </w:pPr>
      <w:r w:rsidRPr="002C7133">
        <w:t>____________________________________________________________________________________________________</w:t>
      </w:r>
      <w:r>
        <w:t>__________________________</w:t>
      </w:r>
      <w:r w:rsidRPr="002C7133">
        <w:t>__</w:t>
      </w:r>
    </w:p>
    <w:p w:rsidR="003807B5" w:rsidRPr="002C7133" w:rsidRDefault="003807B5" w:rsidP="003807B5">
      <w:pPr>
        <w:jc w:val="center"/>
        <w:rPr>
          <w:sz w:val="28"/>
          <w:szCs w:val="28"/>
        </w:rPr>
      </w:pPr>
    </w:p>
    <w:p w:rsidR="003807B5" w:rsidRPr="002C7133" w:rsidRDefault="003807B5" w:rsidP="003807B5">
      <w:r w:rsidRPr="003A69B8">
        <w:rPr>
          <w:b/>
        </w:rPr>
        <w:t>Специалист</w:t>
      </w:r>
      <w:r w:rsidRPr="002C7133">
        <w:t>:</w:t>
      </w:r>
      <w:r>
        <w:t xml:space="preserve"> </w:t>
      </w:r>
      <w:r w:rsidRPr="002C7133">
        <w:t>___________________________________________________________________________________________________________________</w:t>
      </w:r>
    </w:p>
    <w:p w:rsidR="003807B5" w:rsidRPr="000963E4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(</w:t>
      </w:r>
      <w:r w:rsidRPr="000963E4">
        <w:rPr>
          <w:sz w:val="22"/>
          <w:szCs w:val="22"/>
        </w:rPr>
        <w:t xml:space="preserve">Ф.И.О., место работы, должность </w:t>
      </w:r>
      <w:r>
        <w:rPr>
          <w:sz w:val="22"/>
          <w:szCs w:val="22"/>
        </w:rPr>
        <w:t>специалист</w:t>
      </w:r>
      <w:r w:rsidRPr="000963E4">
        <w:rPr>
          <w:sz w:val="22"/>
          <w:szCs w:val="22"/>
        </w:rPr>
        <w:t>а)</w:t>
      </w:r>
    </w:p>
    <w:p w:rsidR="003807B5" w:rsidRPr="002C7133" w:rsidRDefault="003807B5" w:rsidP="003807B5">
      <w:r w:rsidRPr="002C7133">
        <w:t>прове</w:t>
      </w:r>
      <w:proofErr w:type="gramStart"/>
      <w:r w:rsidRPr="002C7133">
        <w:t>л(</w:t>
      </w:r>
      <w:proofErr w:type="gramEnd"/>
      <w:r w:rsidRPr="002C7133">
        <w:t>а) экспертизу в форме анализа индивидуальной папки  ___________________________________________________________________</w:t>
      </w:r>
    </w:p>
    <w:p w:rsidR="003807B5" w:rsidRPr="000963E4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(</w:t>
      </w:r>
      <w:r w:rsidRPr="000963E4">
        <w:rPr>
          <w:sz w:val="22"/>
          <w:szCs w:val="22"/>
        </w:rPr>
        <w:t>дата проведения экспертизы)</w:t>
      </w:r>
    </w:p>
    <w:p w:rsidR="003807B5" w:rsidRPr="002C7133" w:rsidRDefault="003807B5" w:rsidP="003807B5"/>
    <w:tbl>
      <w:tblPr>
        <w:tblW w:w="15281" w:type="dxa"/>
        <w:tblInd w:w="67" w:type="dxa"/>
        <w:tblLayout w:type="fixed"/>
        <w:tblLook w:val="0000"/>
      </w:tblPr>
      <w:tblGrid>
        <w:gridCol w:w="738"/>
        <w:gridCol w:w="154"/>
        <w:gridCol w:w="4769"/>
        <w:gridCol w:w="975"/>
        <w:gridCol w:w="6605"/>
        <w:gridCol w:w="2040"/>
      </w:tblGrid>
      <w:tr w:rsidR="003807B5" w:rsidRPr="002C7133" w:rsidTr="00F45F49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3807B5" w:rsidRPr="002C7133" w:rsidTr="00F45F49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Наличие положительных результатов коррекции развития, адаптации обучающихся и воспитанников*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7D280C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Аналитическая справка о результатах  коррекционной работы</w:t>
            </w:r>
            <w:r w:rsidR="007D280C"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(за 2-3 года), заверенная работодателем.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</w:t>
            </w:r>
            <w:r>
              <w:rPr>
                <w:b/>
                <w:sz w:val="20"/>
                <w:szCs w:val="20"/>
              </w:rPr>
              <w:t>а</w:t>
            </w:r>
            <w:r w:rsidRPr="002C7133">
              <w:rPr>
                <w:b/>
                <w:sz w:val="20"/>
                <w:szCs w:val="20"/>
              </w:rPr>
              <w:t>-психолога</w:t>
            </w:r>
          </w:p>
        </w:tc>
      </w:tr>
      <w:tr w:rsidR="003807B5" w:rsidRPr="002C7133" w:rsidTr="00F45F49">
        <w:trPr>
          <w:trHeight w:val="204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Повышение количества фактов раннего выявления  трудных жизненных ситуаций и качества методов диагностики, соответствующих социальному составу 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bCs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Справка о раннем выявлении и своевременном включении специалиста в решение проблем социальной жизни детей, заверенная работодателем.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</w:tr>
      <w:tr w:rsidR="003807B5" w:rsidRPr="002C7133" w:rsidTr="00F45F49">
        <w:trPr>
          <w:trHeight w:val="91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Документы регистрации обращений, учёта действий и контроля результатов, заверенные работодателем.</w:t>
            </w:r>
          </w:p>
          <w:p w:rsidR="003807B5" w:rsidRPr="00DD0620" w:rsidRDefault="003807B5" w:rsidP="00F45F49">
            <w:pPr>
              <w:rPr>
                <w:bCs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Акты обследования условий жизни учащихся совместно </w:t>
            </w:r>
            <w:r w:rsidR="007D280C">
              <w:rPr>
                <w:sz w:val="22"/>
                <w:szCs w:val="22"/>
              </w:rPr>
              <w:br/>
            </w:r>
            <w:r w:rsidR="00824494">
              <w:rPr>
                <w:sz w:val="22"/>
                <w:szCs w:val="22"/>
              </w:rPr>
              <w:t xml:space="preserve">с </w:t>
            </w:r>
            <w:r w:rsidRPr="00DD0620">
              <w:rPr>
                <w:sz w:val="22"/>
                <w:szCs w:val="22"/>
              </w:rPr>
              <w:t>органами опеки муниципалитета, ОДН.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</w:tr>
      <w:tr w:rsidR="003807B5" w:rsidRPr="002C7133" w:rsidTr="00F45F49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Стимулирование и развитие социально-значимой деятельности </w:t>
            </w:r>
            <w:proofErr w:type="gramStart"/>
            <w:r w:rsidRPr="00DD0620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Справка работодателя об участии обучающихся и воспитанников в социальных проектах, волонтерском  движении, в клубной и культурно – массовой работе по пропаганде правил, правопорядка, здорового образа жизни.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lastRenderedPageBreak/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 программы психолого-педагогического сопровождения образовательного процесса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Программа, утвержденная 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Организация и содержание психодиагностической работы*: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наличие, </w:t>
            </w:r>
            <w:proofErr w:type="spellStart"/>
            <w:r w:rsidRPr="00DD0620">
              <w:rPr>
                <w:sz w:val="22"/>
                <w:szCs w:val="22"/>
              </w:rPr>
              <w:t>валидность</w:t>
            </w:r>
            <w:proofErr w:type="spellEnd"/>
            <w:r w:rsidRPr="00DD0620">
              <w:rPr>
                <w:sz w:val="22"/>
                <w:szCs w:val="22"/>
              </w:rPr>
              <w:t xml:space="preserve"> и достаточность психодиагностических методик;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наличие системного мониторинга психодиагностических показателей;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справок и отзывов методических служб; представление соответствующих учетных документов,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Организация и проведение развивающей, </w:t>
            </w:r>
            <w:proofErr w:type="spellStart"/>
            <w:r w:rsidRPr="00DD0620">
              <w:rPr>
                <w:sz w:val="22"/>
                <w:szCs w:val="22"/>
              </w:rPr>
              <w:t>психокоррекционной</w:t>
            </w:r>
            <w:proofErr w:type="spellEnd"/>
            <w:r w:rsidRPr="00DD0620">
              <w:rPr>
                <w:sz w:val="22"/>
                <w:szCs w:val="22"/>
              </w:rPr>
              <w:t xml:space="preserve">  и реабилитационной работы с обучающимися (воспитанниками)*: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-в процессе специальной работы с отдельными детьми;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-в процессе специальной работы с группами детей;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плана работы  </w:t>
            </w:r>
            <w:r w:rsidRPr="00DD0620">
              <w:rPr>
                <w:b/>
                <w:sz w:val="22"/>
                <w:szCs w:val="22"/>
              </w:rPr>
              <w:t>педагога-психолога</w:t>
            </w:r>
            <w:r w:rsidRPr="00DD0620">
              <w:rPr>
                <w:sz w:val="22"/>
                <w:szCs w:val="22"/>
              </w:rPr>
              <w:t>, справок и отзывов методических служб, представление соответствующих учетных документов, результатов анкетирования, заверенных 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3807B5" w:rsidRPr="00131645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Организация и проведение профилактической работы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 обучающимися: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370B50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Сравнение данных о постановке на учёт и снятии с учёта </w:t>
            </w:r>
            <w:r w:rsidR="00824494"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</w:t>
            </w:r>
            <w:proofErr w:type="spellStart"/>
            <w:r w:rsidRPr="00DD0620">
              <w:rPr>
                <w:sz w:val="22"/>
                <w:szCs w:val="22"/>
              </w:rPr>
              <w:t>КДН</w:t>
            </w:r>
            <w:r w:rsidR="00824494">
              <w:rPr>
                <w:sz w:val="22"/>
                <w:szCs w:val="22"/>
              </w:rPr>
              <w:t>иЗП</w:t>
            </w:r>
            <w:proofErr w:type="spellEnd"/>
            <w:r w:rsidR="00824494">
              <w:rPr>
                <w:sz w:val="22"/>
                <w:szCs w:val="22"/>
              </w:rPr>
              <w:t>,</w:t>
            </w:r>
            <w:r w:rsidRPr="00DD0620">
              <w:rPr>
                <w:sz w:val="22"/>
                <w:szCs w:val="22"/>
              </w:rPr>
              <w:t xml:space="preserve"> в ОДН, на контроль в совете по профилактике в О</w:t>
            </w:r>
            <w:r w:rsidR="00370B50">
              <w:rPr>
                <w:sz w:val="22"/>
                <w:szCs w:val="22"/>
              </w:rPr>
              <w:t>О</w:t>
            </w:r>
            <w:r w:rsidRPr="00DD0620">
              <w:rPr>
                <w:sz w:val="22"/>
                <w:szCs w:val="22"/>
              </w:rPr>
              <w:t xml:space="preserve">  </w:t>
            </w:r>
            <w:r w:rsidR="00824494">
              <w:rPr>
                <w:sz w:val="22"/>
                <w:szCs w:val="22"/>
              </w:rPr>
              <w:br/>
              <w:t xml:space="preserve">(за </w:t>
            </w:r>
            <w:proofErr w:type="gramStart"/>
            <w:r w:rsidR="00824494">
              <w:rPr>
                <w:sz w:val="22"/>
                <w:szCs w:val="22"/>
              </w:rPr>
              <w:t>последние</w:t>
            </w:r>
            <w:proofErr w:type="gramEnd"/>
            <w:r w:rsidR="00824494">
              <w:rPr>
                <w:sz w:val="22"/>
                <w:szCs w:val="22"/>
              </w:rPr>
              <w:t xml:space="preserve"> 2-3 года</w:t>
            </w:r>
            <w:r w:rsidRPr="00DD0620">
              <w:rPr>
                <w:sz w:val="22"/>
                <w:szCs w:val="22"/>
              </w:rPr>
              <w:t xml:space="preserve"> и в сравнении с показателями по району).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2C7133">
              <w:rPr>
                <w:b/>
                <w:sz w:val="20"/>
                <w:szCs w:val="20"/>
              </w:rPr>
              <w:t>*только для</w:t>
            </w:r>
            <w:r>
              <w:rPr>
                <w:b/>
                <w:sz w:val="20"/>
                <w:szCs w:val="20"/>
              </w:rPr>
              <w:t xml:space="preserve"> социального педагога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 обучающимися (воспитанниками);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 педагогами;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 данным самоанализа, планов работы  педагога-психолога, справок </w:t>
            </w:r>
            <w:proofErr w:type="spellStart"/>
            <w:r w:rsidRPr="00DD0620">
              <w:rPr>
                <w:sz w:val="22"/>
                <w:szCs w:val="22"/>
              </w:rPr>
              <w:t>внутришкольного</w:t>
            </w:r>
            <w:proofErr w:type="spellEnd"/>
            <w:r w:rsidRPr="00DD0620">
              <w:rPr>
                <w:sz w:val="22"/>
                <w:szCs w:val="22"/>
              </w:rPr>
              <w:t xml:space="preserve"> контроля, соответствующих учетных документов, анкетирования и др.,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Организация и проведение профилактической работы: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Наличие справок, соответствующих учетных документов, анкетирования и др.,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pacing w:val="-8"/>
                <w:sz w:val="22"/>
                <w:szCs w:val="22"/>
              </w:rPr>
            </w:pPr>
            <w:r w:rsidRPr="00DD0620">
              <w:rPr>
                <w:spacing w:val="-8"/>
                <w:sz w:val="22"/>
                <w:szCs w:val="22"/>
              </w:rPr>
              <w:t>Методическая работа с  педагогами и администрацией ОУ:</w:t>
            </w:r>
          </w:p>
          <w:p w:rsidR="003807B5" w:rsidRPr="00DD0620" w:rsidRDefault="003807B5" w:rsidP="00F45F49">
            <w:pPr>
              <w:snapToGrid w:val="0"/>
              <w:rPr>
                <w:spacing w:val="-8"/>
                <w:sz w:val="22"/>
                <w:szCs w:val="22"/>
              </w:rPr>
            </w:pPr>
            <w:r w:rsidRPr="00DD0620">
              <w:rPr>
                <w:spacing w:val="-8"/>
                <w:sz w:val="22"/>
                <w:szCs w:val="22"/>
              </w:rPr>
              <w:t>- участие в методических объединениях ОУ;</w:t>
            </w:r>
          </w:p>
          <w:p w:rsidR="003807B5" w:rsidRPr="00DD0620" w:rsidRDefault="003807B5" w:rsidP="00F45F49">
            <w:pPr>
              <w:snapToGrid w:val="0"/>
              <w:rPr>
                <w:spacing w:val="-8"/>
                <w:sz w:val="22"/>
                <w:szCs w:val="22"/>
              </w:rPr>
            </w:pPr>
            <w:r w:rsidRPr="00DD0620">
              <w:rPr>
                <w:spacing w:val="-8"/>
                <w:sz w:val="22"/>
                <w:szCs w:val="22"/>
              </w:rPr>
              <w:t xml:space="preserve">-руководство </w:t>
            </w:r>
            <w:proofErr w:type="spellStart"/>
            <w:r w:rsidRPr="00DD0620">
              <w:rPr>
                <w:spacing w:val="-8"/>
                <w:sz w:val="22"/>
                <w:szCs w:val="22"/>
              </w:rPr>
              <w:t>психолого-медико-педагогическим</w:t>
            </w:r>
            <w:proofErr w:type="spellEnd"/>
            <w:r w:rsidRPr="00DD0620">
              <w:rPr>
                <w:spacing w:val="-8"/>
                <w:sz w:val="22"/>
                <w:szCs w:val="22"/>
              </w:rPr>
              <w:t xml:space="preserve"> консилиумом (рабочей группой по социально-педагогическим проблемам);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pacing w:val="-8"/>
                <w:sz w:val="22"/>
                <w:szCs w:val="22"/>
              </w:rPr>
              <w:t>-системно проводимые для педагогов лекции, семинары, тренинги методического содержания.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70B50" w:rsidP="00F45F49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 данным </w:t>
            </w:r>
            <w:r w:rsidR="003807B5" w:rsidRPr="00DD0620">
              <w:rPr>
                <w:sz w:val="22"/>
                <w:szCs w:val="22"/>
              </w:rPr>
              <w:t xml:space="preserve">протоколов методических объединений, журнала </w:t>
            </w:r>
            <w:proofErr w:type="spellStart"/>
            <w:r w:rsidR="003807B5" w:rsidRPr="00DD0620">
              <w:rPr>
                <w:sz w:val="22"/>
                <w:szCs w:val="22"/>
              </w:rPr>
              <w:t>психолого-медико-педагогических</w:t>
            </w:r>
            <w:proofErr w:type="spellEnd"/>
            <w:r w:rsidR="003807B5" w:rsidRPr="00DD0620">
              <w:rPr>
                <w:sz w:val="22"/>
                <w:szCs w:val="22"/>
              </w:rPr>
              <w:t xml:space="preserve"> консилиумов и др.),  заверенных работодателем.</w:t>
            </w:r>
            <w:proofErr w:type="gramEnd"/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Представительство </w:t>
            </w:r>
            <w:proofErr w:type="gramStart"/>
            <w:r w:rsidRPr="00DD0620">
              <w:rPr>
                <w:sz w:val="22"/>
                <w:szCs w:val="22"/>
              </w:rPr>
              <w:t>в</w:t>
            </w:r>
            <w:proofErr w:type="gramEnd"/>
            <w:r w:rsidRPr="00DD0620">
              <w:rPr>
                <w:sz w:val="22"/>
                <w:szCs w:val="22"/>
              </w:rPr>
              <w:t xml:space="preserve">: </w:t>
            </w:r>
          </w:p>
          <w:p w:rsidR="003807B5" w:rsidRPr="00DD0620" w:rsidRDefault="003807B5" w:rsidP="00F45F49">
            <w:pPr>
              <w:rPr>
                <w:bCs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</w:t>
            </w:r>
            <w:r w:rsidRPr="00DD0620">
              <w:rPr>
                <w:bCs/>
                <w:sz w:val="22"/>
                <w:szCs w:val="22"/>
              </w:rPr>
              <w:t xml:space="preserve">районном методическом </w:t>
            </w:r>
            <w:proofErr w:type="gramStart"/>
            <w:r w:rsidRPr="00DD0620">
              <w:rPr>
                <w:bCs/>
                <w:sz w:val="22"/>
                <w:szCs w:val="22"/>
              </w:rPr>
              <w:t>объединении</w:t>
            </w:r>
            <w:proofErr w:type="gramEnd"/>
            <w:r w:rsidRPr="00DD0620">
              <w:rPr>
                <w:b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3807B5" w:rsidRPr="00DD0620" w:rsidRDefault="003807B5" w:rsidP="00F45F49">
            <w:pPr>
              <w:rPr>
                <w:bCs/>
                <w:sz w:val="22"/>
                <w:szCs w:val="22"/>
              </w:rPr>
            </w:pPr>
            <w:r w:rsidRPr="00DD0620">
              <w:rPr>
                <w:bCs/>
                <w:sz w:val="22"/>
                <w:szCs w:val="22"/>
              </w:rPr>
              <w:t xml:space="preserve">- городском методическом </w:t>
            </w:r>
            <w:proofErr w:type="gramStart"/>
            <w:r w:rsidRPr="00DD0620">
              <w:rPr>
                <w:bCs/>
                <w:sz w:val="22"/>
                <w:szCs w:val="22"/>
              </w:rPr>
              <w:t>объединении</w:t>
            </w:r>
            <w:proofErr w:type="gramEnd"/>
            <w:r w:rsidRPr="00DD0620">
              <w:rPr>
                <w:b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районном </w:t>
            </w:r>
            <w:proofErr w:type="spellStart"/>
            <w:r w:rsidRPr="00DD0620">
              <w:rPr>
                <w:sz w:val="22"/>
                <w:szCs w:val="22"/>
              </w:rPr>
              <w:t>медико-психолого-педагогическом</w:t>
            </w:r>
            <w:proofErr w:type="spellEnd"/>
            <w:r w:rsidRPr="00DD0620">
              <w:rPr>
                <w:sz w:val="22"/>
                <w:szCs w:val="22"/>
              </w:rPr>
              <w:t xml:space="preserve"> </w:t>
            </w:r>
            <w:proofErr w:type="gramStart"/>
            <w:r w:rsidRPr="00DD0620">
              <w:rPr>
                <w:sz w:val="22"/>
                <w:szCs w:val="22"/>
              </w:rPr>
              <w:t>консилиуме</w:t>
            </w:r>
            <w:proofErr w:type="gramEnd"/>
            <w:r w:rsidRPr="00DD0620">
              <w:rPr>
                <w:sz w:val="22"/>
                <w:szCs w:val="22"/>
              </w:rPr>
              <w:t xml:space="preserve"> (комиссии);       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городском </w:t>
            </w:r>
            <w:proofErr w:type="spellStart"/>
            <w:r w:rsidRPr="00DD0620">
              <w:rPr>
                <w:sz w:val="22"/>
                <w:szCs w:val="22"/>
              </w:rPr>
              <w:t>медико-психолого-педагогическом</w:t>
            </w:r>
            <w:proofErr w:type="spellEnd"/>
            <w:r w:rsidRPr="00DD0620">
              <w:rPr>
                <w:sz w:val="22"/>
                <w:szCs w:val="22"/>
              </w:rPr>
              <w:t xml:space="preserve"> </w:t>
            </w:r>
            <w:proofErr w:type="gramStart"/>
            <w:r w:rsidRPr="00DD0620">
              <w:rPr>
                <w:sz w:val="22"/>
                <w:szCs w:val="22"/>
              </w:rPr>
              <w:t>консилиуме</w:t>
            </w:r>
            <w:proofErr w:type="gramEnd"/>
            <w:r w:rsidRPr="00DD0620">
              <w:rPr>
                <w:sz w:val="22"/>
                <w:szCs w:val="22"/>
              </w:rPr>
              <w:t xml:space="preserve"> (комиссии);        </w:t>
            </w:r>
          </w:p>
          <w:p w:rsidR="003807B5" w:rsidRPr="00DD0620" w:rsidRDefault="003807B5" w:rsidP="00F45F49">
            <w:pPr>
              <w:snapToGrid w:val="0"/>
              <w:rPr>
                <w:spacing w:val="2"/>
                <w:sz w:val="22"/>
                <w:szCs w:val="22"/>
              </w:rPr>
            </w:pPr>
            <w:r w:rsidRPr="00DD0620">
              <w:rPr>
                <w:spacing w:val="2"/>
                <w:sz w:val="22"/>
                <w:szCs w:val="22"/>
              </w:rPr>
              <w:t>-</w:t>
            </w:r>
            <w:proofErr w:type="gramStart"/>
            <w:r w:rsidRPr="00DD0620">
              <w:rPr>
                <w:spacing w:val="2"/>
                <w:sz w:val="22"/>
                <w:szCs w:val="22"/>
              </w:rPr>
              <w:t>суде</w:t>
            </w:r>
            <w:proofErr w:type="gramEnd"/>
            <w:r w:rsidRPr="00DD0620">
              <w:rPr>
                <w:spacing w:val="2"/>
                <w:sz w:val="22"/>
                <w:szCs w:val="22"/>
              </w:rPr>
              <w:t>, КДН, органах опеки и попечительства в качестве экспертов-консультантов при решении вопросов о психическом состоянии, особенностях психического развития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электронного банка данных документов (личные дела обучающихся (воспитанников), бланки и т.п.)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Рубрикатор (номенклатура дел) о  наличии необходимой и достаточной документации,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jc w:val="center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интернет-адрес, </w:t>
            </w:r>
            <w:proofErr w:type="spellStart"/>
            <w:r w:rsidRPr="00DD0620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DD0620">
              <w:rPr>
                <w:iCs/>
                <w:sz w:val="22"/>
                <w:szCs w:val="22"/>
              </w:rPr>
              <w:t xml:space="preserve"> или сертификат.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D0620">
              <w:rPr>
                <w:sz w:val="22"/>
                <w:szCs w:val="22"/>
              </w:rPr>
              <w:t>Интернет-публикации</w:t>
            </w:r>
            <w:proofErr w:type="spellEnd"/>
            <w:proofErr w:type="gramEnd"/>
            <w:r w:rsidRPr="00DD0620">
              <w:rPr>
                <w:sz w:val="22"/>
                <w:szCs w:val="22"/>
              </w:rPr>
              <w:t xml:space="preserve">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Cs/>
                <w:sz w:val="20"/>
                <w:szCs w:val="20"/>
              </w:rPr>
              <w:t>(</w:t>
            </w:r>
            <w:r w:rsidRPr="002C7133">
              <w:rPr>
                <w:sz w:val="20"/>
                <w:szCs w:val="20"/>
              </w:rPr>
              <w:t xml:space="preserve">включая </w:t>
            </w:r>
            <w:proofErr w:type="spellStart"/>
            <w:proofErr w:type="gramStart"/>
            <w:r w:rsidRPr="002C7133">
              <w:rPr>
                <w:sz w:val="20"/>
                <w:szCs w:val="20"/>
              </w:rPr>
              <w:t>интернет-публикации</w:t>
            </w:r>
            <w:proofErr w:type="spellEnd"/>
            <w:proofErr w:type="gramEnd"/>
            <w:r w:rsidRPr="002C7133">
              <w:rPr>
                <w:sz w:val="20"/>
                <w:szCs w:val="20"/>
              </w:rPr>
              <w:t>)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2"/>
                <w:szCs w:val="22"/>
              </w:rPr>
              <w:t>*</w:t>
            </w:r>
            <w:r w:rsidRPr="002C7133">
              <w:rPr>
                <w:sz w:val="20"/>
                <w:szCs w:val="20"/>
              </w:rPr>
              <w:t xml:space="preserve">для ГБ ПОУ, – уровень образовательного </w:t>
            </w:r>
            <w:r w:rsidRPr="002C7133">
              <w:rPr>
                <w:sz w:val="20"/>
                <w:szCs w:val="20"/>
              </w:rPr>
              <w:lastRenderedPageBreak/>
              <w:t>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2.11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интернет-адрес, </w:t>
            </w:r>
            <w:proofErr w:type="spellStart"/>
            <w:r w:rsidRPr="00DD0620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DD0620">
              <w:rPr>
                <w:iCs/>
                <w:sz w:val="22"/>
                <w:szCs w:val="22"/>
              </w:rPr>
              <w:t xml:space="preserve"> или сертификат.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D0620">
              <w:rPr>
                <w:sz w:val="22"/>
                <w:szCs w:val="22"/>
              </w:rPr>
              <w:t>Интернет-публикации</w:t>
            </w:r>
            <w:proofErr w:type="spellEnd"/>
            <w:proofErr w:type="gramEnd"/>
            <w:r w:rsidRPr="00DD0620">
              <w:rPr>
                <w:sz w:val="22"/>
                <w:szCs w:val="22"/>
              </w:rPr>
              <w:t xml:space="preserve">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Cs/>
                <w:sz w:val="20"/>
                <w:szCs w:val="20"/>
              </w:rPr>
              <w:t>(</w:t>
            </w:r>
            <w:r w:rsidRPr="002C7133">
              <w:rPr>
                <w:sz w:val="20"/>
                <w:szCs w:val="20"/>
              </w:rPr>
              <w:t xml:space="preserve">включая </w:t>
            </w:r>
            <w:proofErr w:type="spellStart"/>
            <w:proofErr w:type="gramStart"/>
            <w:r w:rsidRPr="002C7133">
              <w:rPr>
                <w:sz w:val="20"/>
                <w:szCs w:val="20"/>
              </w:rPr>
              <w:t>интернет-публикации</w:t>
            </w:r>
            <w:proofErr w:type="spellEnd"/>
            <w:proofErr w:type="gramEnd"/>
            <w:r w:rsidRPr="002C7133">
              <w:rPr>
                <w:sz w:val="20"/>
                <w:szCs w:val="20"/>
              </w:rPr>
              <w:t>)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2C7133">
              <w:rPr>
                <w:sz w:val="22"/>
                <w:szCs w:val="22"/>
              </w:rPr>
              <w:t>*</w:t>
            </w:r>
            <w:r w:rsidRPr="002C7133">
              <w:rPr>
                <w:sz w:val="20"/>
                <w:szCs w:val="20"/>
              </w:rPr>
              <w:t>для ГБ ПОУ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профессионального опыта в фо</w:t>
            </w:r>
            <w:r>
              <w:rPr>
                <w:sz w:val="22"/>
                <w:szCs w:val="22"/>
              </w:rPr>
              <w:t>рме открытого занятия</w:t>
            </w:r>
            <w:r w:rsidRPr="00DD0620">
              <w:rPr>
                <w:sz w:val="22"/>
                <w:szCs w:val="22"/>
              </w:rPr>
              <w:t>*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или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MS Gothic"/>
                <w:color w:val="000000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DD0620">
              <w:rPr>
                <w:rFonts w:eastAsia="MS Gothic"/>
                <w:color w:val="000000"/>
                <w:sz w:val="22"/>
                <w:szCs w:val="22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Отзывы</w:t>
            </w:r>
            <w:r>
              <w:rPr>
                <w:sz w:val="22"/>
                <w:szCs w:val="22"/>
              </w:rPr>
              <w:t xml:space="preserve"> (не менее 2-х занятий) – от </w:t>
            </w:r>
            <w:r w:rsidRPr="00DD0620">
              <w:rPr>
                <w:sz w:val="22"/>
                <w:szCs w:val="22"/>
              </w:rPr>
              <w:t xml:space="preserve">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объединения. Отзыв эксперта аттестационной комиссии Комитета 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>Комитета по образованию «Об утверждении списка экспертов аттестационной комиссии». Отзыв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:rsidR="003807B5" w:rsidRPr="00B0329F" w:rsidRDefault="003807B5" w:rsidP="00F45F49">
            <w:pPr>
              <w:rPr>
                <w:b/>
                <w:sz w:val="22"/>
                <w:szCs w:val="22"/>
              </w:rPr>
            </w:pPr>
            <w:r w:rsidRPr="00B0329F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B0329F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B0329F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2"/>
                <w:szCs w:val="22"/>
              </w:rPr>
              <w:t>*</w:t>
            </w:r>
            <w:r w:rsidRPr="002C7133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не производится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городской уровень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программы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Результативность участия в профессиональных конкурсах, имеющих официальный статус: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(муниципального)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Северо-Западного Федерального округа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городского уровня*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Северо-Западного Федерального округа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всероссийского конкурса, проводимого Министерством просвещения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70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 (распоряжений),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*вне зависимости от года участия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(начиная с победителя городского уровня)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2.15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  <w:spacing w:val="-12"/>
                <w:sz w:val="22"/>
                <w:szCs w:val="22"/>
              </w:rPr>
            </w:pPr>
            <w:r w:rsidRPr="00DD0620">
              <w:rPr>
                <w:rFonts w:eastAsia="Calibri"/>
                <w:spacing w:val="-12"/>
                <w:sz w:val="22"/>
                <w:szCs w:val="22"/>
              </w:rPr>
              <w:t>Общественная активность: участие в экспертных комиссиях, апелляционных комиссиях, в жюри профессиональных конкурсов, творческих группах.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spacing w:beforeAutospacing="1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40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социальных связей и межведомственного взаимодействия </w:t>
            </w:r>
            <w:r w:rsidR="007D280C"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>по решению социальных проблем ребенка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планов совместной деятельности, договоров, соглашений о сотрудничестве, </w:t>
            </w:r>
            <w:r w:rsidRPr="00DD0620">
              <w:rPr>
                <w:iCs/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 членство в профессиональных объединениях</w:t>
            </w:r>
          </w:p>
          <w:p w:rsidR="003807B5" w:rsidRPr="00B0329F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участие в партнерских программах</w:t>
            </w:r>
          </w:p>
          <w:p w:rsidR="003807B5" w:rsidRPr="00B0329F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научно-методическое обеспечение </w:t>
            </w:r>
            <w:r w:rsidRPr="00DD0620">
              <w:rPr>
                <w:rFonts w:eastAsia="Calibri"/>
                <w:sz w:val="22"/>
                <w:szCs w:val="22"/>
              </w:rPr>
              <w:lastRenderedPageBreak/>
              <w:t>практических учебных занятий и практик (стажировок) студентов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B0329F" w:rsidRDefault="003807B5" w:rsidP="00F45F4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Копии удостоверений, дипломов, сертификатов, отзывы, договоры,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2.18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proofErr w:type="gramStart"/>
            <w:r w:rsidRPr="00DD0620">
              <w:rPr>
                <w:iCs/>
                <w:sz w:val="22"/>
                <w:szCs w:val="22"/>
              </w:rPr>
              <w:t>созданных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самостоятельно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r w:rsidRPr="00DD0620">
              <w:rPr>
                <w:sz w:val="22"/>
                <w:szCs w:val="22"/>
              </w:rPr>
              <w:t>Скриншоты</w:t>
            </w:r>
            <w:proofErr w:type="spellEnd"/>
            <w:r w:rsidRPr="00DD0620">
              <w:rPr>
                <w:sz w:val="22"/>
                <w:szCs w:val="22"/>
              </w:rPr>
              <w:t xml:space="preserve"> страниц сайтов, презентация к 1 занятию, проводимому с использованием ЭОР.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Материалы, подтверждающие результат личного участия педагога в деятельности экспериментальной </w:t>
            </w:r>
            <w:r w:rsidRPr="00DD0620">
              <w:rPr>
                <w:spacing w:val="-10"/>
                <w:sz w:val="22"/>
                <w:szCs w:val="22"/>
              </w:rPr>
              <w:t>площадки, лаборатории, ресурсного центра.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2.20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продуктов*: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*(кроме ГБ ПОУ, подведомственных Комитету по здравоохранению)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912DB1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- 100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912DB1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912DB1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912DB1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опубликованных </w:t>
            </w:r>
            <w:proofErr w:type="spellStart"/>
            <w:r w:rsidRPr="00DD0620">
              <w:rPr>
                <w:sz w:val="22"/>
                <w:szCs w:val="22"/>
                <w:u w:val="single"/>
              </w:rPr>
              <w:t>учебно</w:t>
            </w:r>
            <w:proofErr w:type="spellEnd"/>
            <w:r w:rsidRPr="00DD0620">
              <w:rPr>
                <w:sz w:val="22"/>
                <w:szCs w:val="22"/>
                <w:u w:val="single"/>
              </w:rPr>
              <w:t>–методических пособий,</w:t>
            </w:r>
            <w:r w:rsidRPr="00DD0620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*для ГБ ПОУ – уровень </w:t>
            </w:r>
            <w:r w:rsidRPr="002C7133">
              <w:rPr>
                <w:sz w:val="20"/>
                <w:szCs w:val="20"/>
              </w:rPr>
              <w:lastRenderedPageBreak/>
              <w:t>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Грамоты, благодарности, благодарственные </w:t>
            </w:r>
            <w:proofErr w:type="gramStart"/>
            <w:r w:rsidRPr="00DD0620">
              <w:rPr>
                <w:rFonts w:eastAsia="Calibri"/>
                <w:sz w:val="22"/>
                <w:szCs w:val="22"/>
              </w:rPr>
              <w:t>письма</w:t>
            </w:r>
            <w:proofErr w:type="gramEnd"/>
            <w:r w:rsidRPr="00DD0620">
              <w:rPr>
                <w:rFonts w:eastAsia="Calibri"/>
                <w:sz w:val="22"/>
                <w:szCs w:val="22"/>
              </w:rPr>
              <w:t xml:space="preserve"> в том числе от общественных организаций за успехи в профессиональной деятельности: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районный (муниципальный) уровень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городской уровень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всероссийский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          </w:t>
            </w:r>
            <w:r>
              <w:rPr>
                <w:rFonts w:eastAsia="Calibri"/>
                <w:sz w:val="22"/>
                <w:szCs w:val="22"/>
              </w:rPr>
              <w:t xml:space="preserve">             </w:t>
            </w:r>
            <w:r w:rsidRPr="00DD0620">
              <w:rPr>
                <w:rFonts w:eastAsia="Calibri"/>
                <w:sz w:val="22"/>
                <w:szCs w:val="22"/>
              </w:rPr>
              <w:t xml:space="preserve"> Санкт-Петербурга в сфере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 w:rsidRPr="00DD0620">
              <w:rPr>
                <w:iCs/>
                <w:sz w:val="22"/>
                <w:szCs w:val="22"/>
              </w:rPr>
              <w:t xml:space="preserve"> Постановление Правительства   Санкт-Петербурга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C24107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807B5" w:rsidRDefault="003807B5" w:rsidP="003807B5">
      <w:pPr>
        <w:rPr>
          <w:b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/>
    <w:p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Default="003807B5" w:rsidP="003807B5">
      <w:r>
        <w:t xml:space="preserve">квалификационной категории. </w:t>
      </w:r>
    </w:p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</w:t>
      </w:r>
      <w:r w:rsidRPr="002662D9">
        <w:rPr>
          <w:b/>
        </w:rPr>
        <w:t>а:</w:t>
      </w:r>
      <w:r w:rsidRPr="002C7133">
        <w:t xml:space="preserve"> _________________________________________________________________________</w:t>
      </w:r>
      <w:r>
        <w:t>______________________________</w:t>
      </w:r>
    </w:p>
    <w:p w:rsidR="003807B5" w:rsidRPr="00301D21" w:rsidRDefault="003807B5" w:rsidP="003807B5">
      <w:pPr>
        <w:rPr>
          <w:sz w:val="20"/>
          <w:szCs w:val="20"/>
        </w:rPr>
      </w:pPr>
      <w:r w:rsidRPr="00301D21">
        <w:rPr>
          <w:sz w:val="20"/>
          <w:szCs w:val="20"/>
        </w:rP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CF753C" w:rsidRDefault="003807B5" w:rsidP="003807B5"/>
    <w:p w:rsidR="003807B5" w:rsidRPr="002C7133" w:rsidRDefault="003807B5" w:rsidP="003807B5">
      <w:pPr>
        <w:spacing w:line="360" w:lineRule="auto"/>
        <w:ind w:right="1"/>
        <w:jc w:val="both"/>
        <w:rPr>
          <w:b/>
          <w:bCs/>
        </w:rPr>
      </w:pPr>
      <w:r w:rsidRPr="002C7133">
        <w:rPr>
          <w:b/>
          <w:bCs/>
        </w:rPr>
        <w:lastRenderedPageBreak/>
        <w:t>Сумма баллов для определения квалификационной категории</w:t>
      </w:r>
    </w:p>
    <w:tbl>
      <w:tblPr>
        <w:tblW w:w="147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6"/>
        <w:gridCol w:w="4625"/>
        <w:gridCol w:w="5047"/>
      </w:tblGrid>
      <w:tr w:rsidR="003807B5" w:rsidRPr="002C7133" w:rsidTr="00F45F49">
        <w:tc>
          <w:tcPr>
            <w:tcW w:w="5116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62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5047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:rsidTr="00F45F49">
        <w:tc>
          <w:tcPr>
            <w:tcW w:w="5116" w:type="dxa"/>
          </w:tcPr>
          <w:p w:rsidR="003807B5" w:rsidRPr="00DD0620" w:rsidRDefault="003807B5" w:rsidP="00F45F49">
            <w:pPr>
              <w:spacing w:line="360" w:lineRule="auto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4625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160                             и выше</w:t>
            </w:r>
          </w:p>
        </w:tc>
        <w:tc>
          <w:tcPr>
            <w:tcW w:w="5047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420                и выше</w:t>
            </w:r>
          </w:p>
        </w:tc>
      </w:tr>
      <w:tr w:rsidR="003807B5" w:rsidRPr="002C7133" w:rsidTr="00F45F49">
        <w:tc>
          <w:tcPr>
            <w:tcW w:w="5116" w:type="dxa"/>
          </w:tcPr>
          <w:p w:rsidR="003807B5" w:rsidRPr="00DD0620" w:rsidRDefault="003807B5" w:rsidP="00F45F49">
            <w:pPr>
              <w:spacing w:line="360" w:lineRule="auto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4625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130                             и выше</w:t>
            </w:r>
          </w:p>
        </w:tc>
        <w:tc>
          <w:tcPr>
            <w:tcW w:w="5047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380                и выше</w:t>
            </w:r>
          </w:p>
        </w:tc>
      </w:tr>
    </w:tbl>
    <w:p w:rsidR="003807B5" w:rsidRPr="002C7133" w:rsidRDefault="003807B5" w:rsidP="003807B5">
      <w:pPr>
        <w:rPr>
          <w:b/>
          <w:bCs/>
          <w:spacing w:val="-4"/>
        </w:rPr>
      </w:pPr>
    </w:p>
    <w:p w:rsidR="007D280C" w:rsidRPr="007D280C" w:rsidRDefault="007D280C" w:rsidP="007D280C">
      <w:pPr>
        <w:rPr>
          <w:b/>
          <w:bCs/>
          <w:spacing w:val="-4"/>
        </w:rPr>
      </w:pPr>
      <w:r w:rsidRPr="007D280C">
        <w:rPr>
          <w:b/>
          <w:bCs/>
          <w:spacing w:val="-4"/>
        </w:rPr>
        <w:t>Список сокращений:</w:t>
      </w:r>
    </w:p>
    <w:p w:rsidR="007D280C" w:rsidRDefault="007D280C" w:rsidP="007D280C"/>
    <w:p w:rsidR="007D280C" w:rsidRDefault="007D280C" w:rsidP="007D280C">
      <w:r>
        <w:t>ГБПОУ – государственное бюджетное профессиональное образовательное учреждение</w:t>
      </w:r>
    </w:p>
    <w:p w:rsidR="00824494" w:rsidRDefault="00824494" w:rsidP="00824494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824494" w:rsidRDefault="00824494" w:rsidP="00824494">
      <w:proofErr w:type="spellStart"/>
      <w:r>
        <w:t>КДН</w:t>
      </w:r>
      <w:r w:rsidR="00830CB3">
        <w:t>иЗП</w:t>
      </w:r>
      <w:proofErr w:type="spellEnd"/>
      <w:r>
        <w:t xml:space="preserve"> – комиссия по делам несовершеннолетних и защите их прав</w:t>
      </w:r>
    </w:p>
    <w:p w:rsidR="007D280C" w:rsidRDefault="007D280C" w:rsidP="007D280C">
      <w:r>
        <w:t>ОБЖ – основ безопасности жизнедеятельности</w:t>
      </w:r>
    </w:p>
    <w:p w:rsidR="007D280C" w:rsidRDefault="007D280C" w:rsidP="007D280C">
      <w:r>
        <w:t>ОДН – отдел по делам несовершеннолетних</w:t>
      </w:r>
    </w:p>
    <w:p w:rsidR="00370B50" w:rsidRDefault="00370B50" w:rsidP="007D280C">
      <w:r>
        <w:t>ОО – образовательная организация</w:t>
      </w:r>
    </w:p>
    <w:p w:rsidR="003807B5" w:rsidRDefault="007D280C" w:rsidP="007D280C">
      <w:r>
        <w:t>ЭОР – электронные образовательные ресурсы</w:t>
      </w:r>
    </w:p>
    <w:p w:rsidR="009A081A" w:rsidRPr="00653EC4" w:rsidRDefault="009A081A" w:rsidP="00925637">
      <w:pPr>
        <w:jc w:val="both"/>
        <w:rPr>
          <w:shd w:val="clear" w:color="auto" w:fill="FFFFFF"/>
        </w:rPr>
      </w:pPr>
    </w:p>
    <w:sectPr w:rsidR="009A081A" w:rsidRPr="00653EC4" w:rsidSect="008C53F9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04" w:rsidRDefault="00633604">
      <w:r>
        <w:separator/>
      </w:r>
    </w:p>
  </w:endnote>
  <w:endnote w:type="continuationSeparator" w:id="0">
    <w:p w:rsidR="00633604" w:rsidRDefault="006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04" w:rsidRDefault="00633604">
      <w:r>
        <w:separator/>
      </w:r>
    </w:p>
  </w:footnote>
  <w:footnote w:type="continuationSeparator" w:id="0">
    <w:p w:rsidR="00633604" w:rsidRDefault="006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53" w:rsidRPr="00851D90" w:rsidRDefault="00EC4F7C">
    <w:pPr>
      <w:pStyle w:val="a4"/>
      <w:jc w:val="center"/>
    </w:pPr>
    <w:r>
      <w:fldChar w:fldCharType="begin"/>
    </w:r>
    <w:r w:rsidR="00B53453">
      <w:instrText>PAGE   \* MERGEFORMAT</w:instrText>
    </w:r>
    <w:r>
      <w:fldChar w:fldCharType="separate"/>
    </w:r>
    <w:r w:rsidR="008C53F9">
      <w:rPr>
        <w:noProof/>
      </w:rPr>
      <w:t>8</w:t>
    </w:r>
    <w:r>
      <w:fldChar w:fldCharType="end"/>
    </w:r>
  </w:p>
  <w:p w:rsidR="00B53453" w:rsidRPr="00AD5AE8" w:rsidRDefault="00B53453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8F2"/>
    <w:rsid w:val="00094B66"/>
    <w:rsid w:val="000E5BA5"/>
    <w:rsid w:val="00101F8B"/>
    <w:rsid w:val="00120FF3"/>
    <w:rsid w:val="001B56A0"/>
    <w:rsid w:val="001D63F9"/>
    <w:rsid w:val="001E0048"/>
    <w:rsid w:val="001E125A"/>
    <w:rsid w:val="001E74D3"/>
    <w:rsid w:val="001F6A03"/>
    <w:rsid w:val="00216AA4"/>
    <w:rsid w:val="002249FF"/>
    <w:rsid w:val="002A1CDB"/>
    <w:rsid w:val="002D1D4A"/>
    <w:rsid w:val="002E1815"/>
    <w:rsid w:val="002F7CC2"/>
    <w:rsid w:val="00330DE6"/>
    <w:rsid w:val="00337A1F"/>
    <w:rsid w:val="00370B50"/>
    <w:rsid w:val="00374D36"/>
    <w:rsid w:val="003807B5"/>
    <w:rsid w:val="0038478B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521BE0"/>
    <w:rsid w:val="00581CD3"/>
    <w:rsid w:val="005E178F"/>
    <w:rsid w:val="005F311E"/>
    <w:rsid w:val="00614296"/>
    <w:rsid w:val="00633604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70376"/>
    <w:rsid w:val="00792343"/>
    <w:rsid w:val="007A2084"/>
    <w:rsid w:val="007D280C"/>
    <w:rsid w:val="007F02D5"/>
    <w:rsid w:val="007F6709"/>
    <w:rsid w:val="00824494"/>
    <w:rsid w:val="00830CB3"/>
    <w:rsid w:val="00841063"/>
    <w:rsid w:val="008746E9"/>
    <w:rsid w:val="008747C0"/>
    <w:rsid w:val="008820C2"/>
    <w:rsid w:val="00886C9C"/>
    <w:rsid w:val="00887308"/>
    <w:rsid w:val="008C53F9"/>
    <w:rsid w:val="008D2F1E"/>
    <w:rsid w:val="00925637"/>
    <w:rsid w:val="0093432F"/>
    <w:rsid w:val="00984B13"/>
    <w:rsid w:val="009A081A"/>
    <w:rsid w:val="009D121A"/>
    <w:rsid w:val="00A061EF"/>
    <w:rsid w:val="00AA2ADA"/>
    <w:rsid w:val="00AC7AE6"/>
    <w:rsid w:val="00B0580D"/>
    <w:rsid w:val="00B220CA"/>
    <w:rsid w:val="00B276E6"/>
    <w:rsid w:val="00B35E02"/>
    <w:rsid w:val="00B53453"/>
    <w:rsid w:val="00B55ADE"/>
    <w:rsid w:val="00B93789"/>
    <w:rsid w:val="00BA0A4D"/>
    <w:rsid w:val="00BA2319"/>
    <w:rsid w:val="00BE63F4"/>
    <w:rsid w:val="00C0546D"/>
    <w:rsid w:val="00C218D8"/>
    <w:rsid w:val="00C601FF"/>
    <w:rsid w:val="00D0645C"/>
    <w:rsid w:val="00D24D7E"/>
    <w:rsid w:val="00D34094"/>
    <w:rsid w:val="00D7061D"/>
    <w:rsid w:val="00D87CB8"/>
    <w:rsid w:val="00D966F1"/>
    <w:rsid w:val="00DC18BB"/>
    <w:rsid w:val="00DF7793"/>
    <w:rsid w:val="00E17491"/>
    <w:rsid w:val="00E200F1"/>
    <w:rsid w:val="00E36DCB"/>
    <w:rsid w:val="00E56429"/>
    <w:rsid w:val="00E77DE4"/>
    <w:rsid w:val="00EC4F7C"/>
    <w:rsid w:val="00EF6298"/>
    <w:rsid w:val="00F02520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443C-EC15-46B9-9F52-FD763B43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2</TotalTime>
  <Pages>8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4</cp:revision>
  <cp:lastPrinted>2023-08-29T14:52:00Z</cp:lastPrinted>
  <dcterms:created xsi:type="dcterms:W3CDTF">2023-09-01T11:51:00Z</dcterms:created>
  <dcterms:modified xsi:type="dcterms:W3CDTF">2023-09-01T11:53:00Z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